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A0B" w:rsidRDefault="002D0A0B" w:rsidP="002D0A0B">
      <w:pPr>
        <w:rPr>
          <w:b/>
          <w:sz w:val="32"/>
          <w:szCs w:val="32"/>
        </w:rPr>
      </w:pPr>
      <w:r w:rsidRPr="008159D1">
        <w:rPr>
          <w:b/>
          <w:sz w:val="32"/>
          <w:szCs w:val="32"/>
        </w:rPr>
        <w:t>EQUALITY, DIVERSITY and INCLUSION CONFERENCE 202</w:t>
      </w:r>
      <w:r>
        <w:rPr>
          <w:b/>
          <w:sz w:val="32"/>
          <w:szCs w:val="32"/>
        </w:rPr>
        <w:t xml:space="preserve">4 </w:t>
      </w:r>
    </w:p>
    <w:p w:rsidR="002D0A0B" w:rsidRPr="008159D1" w:rsidRDefault="004D7632" w:rsidP="002D0A0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University of </w:t>
      </w:r>
      <w:r w:rsidR="002D0A0B">
        <w:rPr>
          <w:b/>
          <w:sz w:val="32"/>
          <w:szCs w:val="32"/>
        </w:rPr>
        <w:t>Seville, 27-29 May 2024</w:t>
      </w:r>
    </w:p>
    <w:p w:rsidR="002D0A0B" w:rsidRPr="002D0A0B" w:rsidRDefault="002D0A0B" w:rsidP="002D0A0B">
      <w:pPr>
        <w:rPr>
          <w:rFonts w:cstheme="minorHAnsi"/>
          <w:b/>
          <w:i/>
          <w:sz w:val="24"/>
          <w:szCs w:val="24"/>
        </w:rPr>
      </w:pPr>
      <w:r w:rsidRPr="002D0A0B">
        <w:rPr>
          <w:rFonts w:cstheme="minorHAnsi"/>
          <w:b/>
          <w:i/>
          <w:sz w:val="24"/>
          <w:szCs w:val="24"/>
        </w:rPr>
        <w:t xml:space="preserve">Stream: </w:t>
      </w:r>
      <w:proofErr w:type="spellStart"/>
      <w:r w:rsidRPr="002D0A0B">
        <w:rPr>
          <w:rFonts w:cstheme="minorHAnsi"/>
          <w:b/>
          <w:i/>
          <w:sz w:val="24"/>
          <w:szCs w:val="24"/>
        </w:rPr>
        <w:t>Responsibilisation</w:t>
      </w:r>
      <w:proofErr w:type="spellEnd"/>
      <w:r w:rsidRPr="002D0A0B">
        <w:rPr>
          <w:rFonts w:cstheme="minorHAnsi"/>
          <w:b/>
          <w:i/>
          <w:sz w:val="24"/>
          <w:szCs w:val="24"/>
        </w:rPr>
        <w:t xml:space="preserve"> for addressing inequalities: critical discu</w:t>
      </w:r>
      <w:r w:rsidR="00673164">
        <w:rPr>
          <w:rFonts w:cstheme="minorHAnsi"/>
          <w:b/>
          <w:i/>
          <w:sz w:val="24"/>
          <w:szCs w:val="24"/>
        </w:rPr>
        <w:t>ssions</w:t>
      </w:r>
      <w:r w:rsidRPr="002D0A0B">
        <w:rPr>
          <w:rFonts w:cstheme="minorHAnsi"/>
          <w:b/>
          <w:i/>
          <w:sz w:val="24"/>
          <w:szCs w:val="24"/>
        </w:rPr>
        <w:t xml:space="preserve"> and new propositions</w:t>
      </w:r>
    </w:p>
    <w:p w:rsidR="002D0A0B" w:rsidRPr="00980A21" w:rsidRDefault="002D0A0B" w:rsidP="002D0A0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(</w:t>
      </w:r>
      <w:r w:rsidR="009257C5">
        <w:rPr>
          <w:rFonts w:cstheme="minorHAnsi"/>
          <w:b/>
          <w:sz w:val="24"/>
          <w:szCs w:val="24"/>
        </w:rPr>
        <w:t xml:space="preserve">Dr </w:t>
      </w:r>
      <w:r>
        <w:rPr>
          <w:rFonts w:cstheme="minorHAnsi"/>
          <w:b/>
          <w:sz w:val="24"/>
          <w:szCs w:val="24"/>
        </w:rPr>
        <w:t xml:space="preserve">Raffaella Valsecchi, Professor Mustafa </w:t>
      </w:r>
      <w:proofErr w:type="spellStart"/>
      <w:r w:rsidR="00101F5E" w:rsidRPr="00101F5E">
        <w:rPr>
          <w:b/>
          <w:sz w:val="24"/>
          <w:szCs w:val="24"/>
        </w:rPr>
        <w:t>Ö</w:t>
      </w:r>
      <w:r w:rsidRPr="00101F5E">
        <w:rPr>
          <w:rFonts w:cstheme="minorHAnsi"/>
          <w:b/>
          <w:sz w:val="24"/>
          <w:szCs w:val="24"/>
        </w:rPr>
        <w:t>z</w:t>
      </w:r>
      <w:r>
        <w:rPr>
          <w:rFonts w:cstheme="minorHAnsi"/>
          <w:b/>
          <w:sz w:val="24"/>
          <w:szCs w:val="24"/>
        </w:rPr>
        <w:t>bilgin</w:t>
      </w:r>
      <w:proofErr w:type="spellEnd"/>
      <w:r>
        <w:rPr>
          <w:rFonts w:cstheme="minorHAnsi"/>
          <w:b/>
          <w:sz w:val="24"/>
          <w:szCs w:val="24"/>
        </w:rPr>
        <w:t xml:space="preserve">, </w:t>
      </w:r>
      <w:r w:rsidR="009257C5">
        <w:rPr>
          <w:rFonts w:cstheme="minorHAnsi"/>
          <w:b/>
          <w:sz w:val="24"/>
          <w:szCs w:val="24"/>
        </w:rPr>
        <w:t xml:space="preserve">Dr </w:t>
      </w:r>
      <w:r>
        <w:rPr>
          <w:rFonts w:cstheme="minorHAnsi"/>
          <w:b/>
          <w:sz w:val="24"/>
          <w:szCs w:val="24"/>
        </w:rPr>
        <w:t xml:space="preserve">Rachel Morgan and </w:t>
      </w:r>
      <w:r w:rsidR="009257C5">
        <w:rPr>
          <w:rFonts w:cstheme="minorHAnsi"/>
          <w:b/>
          <w:sz w:val="24"/>
          <w:szCs w:val="24"/>
        </w:rPr>
        <w:t xml:space="preserve"> Dr </w:t>
      </w:r>
      <w:proofErr w:type="spellStart"/>
      <w:r>
        <w:rPr>
          <w:rFonts w:cstheme="minorHAnsi"/>
          <w:b/>
          <w:sz w:val="24"/>
          <w:szCs w:val="24"/>
        </w:rPr>
        <w:t>Marios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Samdanis</w:t>
      </w:r>
      <w:proofErr w:type="spellEnd"/>
      <w:r>
        <w:rPr>
          <w:rFonts w:cstheme="minorHAnsi"/>
          <w:b/>
          <w:sz w:val="24"/>
          <w:szCs w:val="24"/>
        </w:rPr>
        <w:t>)</w:t>
      </w:r>
    </w:p>
    <w:p w:rsidR="007715DC" w:rsidRDefault="00D62445" w:rsidP="007715DC">
      <w:pPr>
        <w:jc w:val="both"/>
        <w:rPr>
          <w:rFonts w:cstheme="minorHAnsi"/>
          <w:sz w:val="24"/>
          <w:szCs w:val="24"/>
        </w:rPr>
      </w:pPr>
      <w:r w:rsidRPr="008E3C9B">
        <w:rPr>
          <w:sz w:val="24"/>
          <w:szCs w:val="24"/>
        </w:rPr>
        <w:t>‘</w:t>
      </w:r>
      <w:proofErr w:type="spellStart"/>
      <w:r w:rsidRPr="008E3C9B">
        <w:rPr>
          <w:sz w:val="24"/>
          <w:szCs w:val="24"/>
        </w:rPr>
        <w:t>Respons</w:t>
      </w:r>
      <w:r w:rsidR="00440361">
        <w:rPr>
          <w:sz w:val="24"/>
          <w:szCs w:val="24"/>
        </w:rPr>
        <w:t>i</w:t>
      </w:r>
      <w:r w:rsidRPr="008E3C9B">
        <w:rPr>
          <w:sz w:val="24"/>
          <w:szCs w:val="24"/>
        </w:rPr>
        <w:t>bilisation</w:t>
      </w:r>
      <w:proofErr w:type="spellEnd"/>
      <w:r w:rsidRPr="008E3C9B">
        <w:rPr>
          <w:sz w:val="24"/>
          <w:szCs w:val="24"/>
        </w:rPr>
        <w:t xml:space="preserve">’ refers to the process by which individuals or specific groups are made responsible of certain </w:t>
      </w:r>
      <w:r w:rsidR="008E3C9B" w:rsidRPr="008E3C9B">
        <w:rPr>
          <w:sz w:val="24"/>
          <w:szCs w:val="24"/>
        </w:rPr>
        <w:t>societal issues, often by shifting the burden from larger societal structures, such as the State to individuals or communities</w:t>
      </w:r>
      <w:r w:rsidR="008E3C9B" w:rsidRPr="008E3C9B">
        <w:rPr>
          <w:rFonts w:cstheme="minorHAnsi"/>
          <w:sz w:val="24"/>
          <w:szCs w:val="24"/>
        </w:rPr>
        <w:t xml:space="preserve"> (Shamir, 2008</w:t>
      </w:r>
      <w:r w:rsidR="008E3C9B">
        <w:rPr>
          <w:rFonts w:cstheme="minorHAnsi"/>
          <w:sz w:val="24"/>
          <w:szCs w:val="24"/>
        </w:rPr>
        <w:t xml:space="preserve">). This concept is closely linked to </w:t>
      </w:r>
      <w:r w:rsidR="00440361">
        <w:rPr>
          <w:rFonts w:cstheme="minorHAnsi"/>
          <w:sz w:val="24"/>
          <w:szCs w:val="24"/>
        </w:rPr>
        <w:t>neoliberalism, which in its turn emphasises free market, deregulation, limited government intervention and thus, individual responsibility (</w:t>
      </w:r>
      <w:r w:rsidR="00440361" w:rsidRPr="00572AA9">
        <w:rPr>
          <w:rFonts w:cstheme="minorHAnsi"/>
          <w:sz w:val="24"/>
          <w:szCs w:val="24"/>
        </w:rPr>
        <w:t>Carvalho and Rodrigues, 2006; Wood, 1997).</w:t>
      </w:r>
      <w:r w:rsidR="00440361">
        <w:rPr>
          <w:rFonts w:cstheme="minorHAnsi"/>
          <w:sz w:val="24"/>
          <w:szCs w:val="24"/>
        </w:rPr>
        <w:t xml:space="preserve"> </w:t>
      </w:r>
    </w:p>
    <w:p w:rsidR="008208FF" w:rsidRPr="008208FF" w:rsidRDefault="007B17E7" w:rsidP="006F3D35">
      <w:pPr>
        <w:spacing w:before="240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The concept of ‘</w:t>
      </w:r>
      <w:proofErr w:type="spellStart"/>
      <w:r>
        <w:rPr>
          <w:sz w:val="24"/>
          <w:szCs w:val="24"/>
        </w:rPr>
        <w:t>responsibilisation</w:t>
      </w:r>
      <w:proofErr w:type="spellEnd"/>
      <w:r>
        <w:rPr>
          <w:sz w:val="24"/>
          <w:szCs w:val="24"/>
        </w:rPr>
        <w:t xml:space="preserve">’ has been criticised and challenged for </w:t>
      </w:r>
      <w:r w:rsidR="0083167C">
        <w:rPr>
          <w:sz w:val="24"/>
          <w:szCs w:val="24"/>
        </w:rPr>
        <w:t>various</w:t>
      </w:r>
      <w:r>
        <w:rPr>
          <w:sz w:val="24"/>
          <w:szCs w:val="24"/>
        </w:rPr>
        <w:t xml:space="preserve"> reasons </w:t>
      </w:r>
      <w:r w:rsidR="0083167C">
        <w:rPr>
          <w:sz w:val="24"/>
          <w:szCs w:val="24"/>
        </w:rPr>
        <w:t>by</w:t>
      </w:r>
      <w:r>
        <w:rPr>
          <w:sz w:val="24"/>
          <w:szCs w:val="24"/>
        </w:rPr>
        <w:t xml:space="preserve"> scholars and policy makers</w:t>
      </w:r>
      <w:r w:rsidR="008D68E2">
        <w:rPr>
          <w:sz w:val="24"/>
          <w:szCs w:val="24"/>
        </w:rPr>
        <w:t>.</w:t>
      </w:r>
      <w:r w:rsidR="00A84E5A">
        <w:rPr>
          <w:sz w:val="24"/>
          <w:szCs w:val="24"/>
        </w:rPr>
        <w:t xml:space="preserve"> </w:t>
      </w:r>
      <w:r w:rsidR="00AB45E1">
        <w:rPr>
          <w:sz w:val="24"/>
          <w:szCs w:val="24"/>
        </w:rPr>
        <w:t>Recent studies</w:t>
      </w:r>
      <w:r w:rsidR="0083167C">
        <w:rPr>
          <w:sz w:val="24"/>
          <w:szCs w:val="24"/>
        </w:rPr>
        <w:t xml:space="preserve"> have</w:t>
      </w:r>
      <w:r w:rsidR="00AB45E1">
        <w:rPr>
          <w:sz w:val="24"/>
          <w:szCs w:val="24"/>
        </w:rPr>
        <w:t xml:space="preserve"> </w:t>
      </w:r>
      <w:r w:rsidR="00990287">
        <w:rPr>
          <w:sz w:val="24"/>
          <w:szCs w:val="24"/>
        </w:rPr>
        <w:t>criticised equality regulations within the neoliberal regimes and propose alternatives</w:t>
      </w:r>
      <w:r w:rsidR="006F3D35">
        <w:rPr>
          <w:sz w:val="24"/>
          <w:szCs w:val="24"/>
        </w:rPr>
        <w:t xml:space="preserve"> (Vincent et al. 2024). </w:t>
      </w:r>
      <w:r w:rsidR="00990287">
        <w:rPr>
          <w:sz w:val="24"/>
          <w:szCs w:val="24"/>
        </w:rPr>
        <w:t>Neoliberal regimes rely on the principles of free markets and de-regulations,</w:t>
      </w:r>
      <w:r w:rsidR="004235F9">
        <w:rPr>
          <w:sz w:val="24"/>
          <w:szCs w:val="24"/>
        </w:rPr>
        <w:t xml:space="preserve"> tend to</w:t>
      </w:r>
      <w:r w:rsidR="00990287">
        <w:rPr>
          <w:sz w:val="24"/>
          <w:szCs w:val="24"/>
        </w:rPr>
        <w:t xml:space="preserve"> increase </w:t>
      </w:r>
      <w:r w:rsidR="006F3D35">
        <w:rPr>
          <w:sz w:val="24"/>
          <w:szCs w:val="24"/>
        </w:rPr>
        <w:t xml:space="preserve">and reproduce global </w:t>
      </w:r>
      <w:r w:rsidR="006F3D35" w:rsidRPr="006F3D35">
        <w:rPr>
          <w:sz w:val="24"/>
          <w:szCs w:val="24"/>
        </w:rPr>
        <w:t>inequalities</w:t>
      </w:r>
      <w:r w:rsidR="00673164">
        <w:rPr>
          <w:sz w:val="24"/>
          <w:szCs w:val="24"/>
        </w:rPr>
        <w:t>, rather than eliminating them</w:t>
      </w:r>
      <w:r w:rsidR="006F3D35" w:rsidRPr="006F3D35">
        <w:rPr>
          <w:sz w:val="24"/>
          <w:szCs w:val="24"/>
        </w:rPr>
        <w:t xml:space="preserve"> (</w:t>
      </w:r>
      <w:hyperlink r:id="rId5" w:anchor="bibr104-09500170231217660" w:history="1">
        <w:r w:rsidR="006F3D35" w:rsidRPr="006F3D35">
          <w:rPr>
            <w:rStyle w:val="Hyperlink"/>
            <w:color w:val="000000"/>
            <w:sz w:val="24"/>
            <w:szCs w:val="24"/>
            <w:u w:val="none"/>
          </w:rPr>
          <w:t>Stiglitz, 2012</w:t>
        </w:r>
      </w:hyperlink>
      <w:r w:rsidR="006F3D35">
        <w:rPr>
          <w:sz w:val="24"/>
          <w:szCs w:val="24"/>
        </w:rPr>
        <w:t>).</w:t>
      </w:r>
      <w:r w:rsidR="006F3D35" w:rsidRPr="006F3D35">
        <w:rPr>
          <w:sz w:val="24"/>
          <w:szCs w:val="24"/>
        </w:rPr>
        <w:t xml:space="preserve"> </w:t>
      </w:r>
      <w:r w:rsidR="006F3D35">
        <w:rPr>
          <w:sz w:val="24"/>
          <w:szCs w:val="24"/>
        </w:rPr>
        <w:t>By individualising responsibilities, there is a risk of neglecting the role of the political, economic and social structures, that promote to these disparities.</w:t>
      </w:r>
      <w:r w:rsidR="008208FF" w:rsidRPr="008208FF">
        <w:rPr>
          <w:rFonts w:cstheme="minorHAnsi"/>
          <w:sz w:val="24"/>
          <w:szCs w:val="24"/>
        </w:rPr>
        <w:t xml:space="preserve"> </w:t>
      </w:r>
      <w:r w:rsidR="002548C8">
        <w:rPr>
          <w:rFonts w:cstheme="minorHAnsi"/>
          <w:sz w:val="24"/>
          <w:szCs w:val="24"/>
        </w:rPr>
        <w:t xml:space="preserve"> </w:t>
      </w:r>
      <w:r w:rsidR="008208FF">
        <w:rPr>
          <w:rFonts w:cstheme="minorHAnsi"/>
          <w:sz w:val="24"/>
          <w:szCs w:val="24"/>
        </w:rPr>
        <w:t xml:space="preserve">For instance, </w:t>
      </w:r>
      <w:r w:rsidR="00673164">
        <w:rPr>
          <w:rFonts w:cstheme="minorHAnsi"/>
          <w:sz w:val="24"/>
          <w:szCs w:val="24"/>
        </w:rPr>
        <w:t xml:space="preserve">in the UK context, </w:t>
      </w:r>
      <w:r w:rsidR="008208FF">
        <w:rPr>
          <w:rFonts w:cstheme="minorHAnsi"/>
          <w:sz w:val="24"/>
          <w:szCs w:val="24"/>
        </w:rPr>
        <w:t>the Disability Discrimination Act (1995) made employers legally responsible for making reasonable adjustments to accommodate workers with disabilities (</w:t>
      </w:r>
      <w:proofErr w:type="spellStart"/>
      <w:r w:rsidR="008208FF">
        <w:rPr>
          <w:rFonts w:cstheme="minorHAnsi"/>
          <w:sz w:val="24"/>
          <w:szCs w:val="24"/>
        </w:rPr>
        <w:t>Esping</w:t>
      </w:r>
      <w:proofErr w:type="spellEnd"/>
      <w:r w:rsidR="008208FF">
        <w:rPr>
          <w:rFonts w:cstheme="minorHAnsi"/>
          <w:sz w:val="24"/>
          <w:szCs w:val="24"/>
        </w:rPr>
        <w:t xml:space="preserve">-Anderson, 2015 ). </w:t>
      </w:r>
      <w:r w:rsidR="004235F9">
        <w:rPr>
          <w:rFonts w:cstheme="minorHAnsi"/>
          <w:sz w:val="24"/>
          <w:szCs w:val="24"/>
        </w:rPr>
        <w:t>However</w:t>
      </w:r>
      <w:r w:rsidR="008208FF">
        <w:rPr>
          <w:rFonts w:cstheme="minorHAnsi"/>
          <w:sz w:val="24"/>
          <w:szCs w:val="24"/>
        </w:rPr>
        <w:t xml:space="preserve">, some employers were </w:t>
      </w:r>
      <w:r w:rsidR="004235F9">
        <w:rPr>
          <w:rFonts w:cstheme="minorHAnsi"/>
          <w:sz w:val="24"/>
          <w:szCs w:val="24"/>
        </w:rPr>
        <w:t>unprepared</w:t>
      </w:r>
      <w:r w:rsidR="008208FF">
        <w:rPr>
          <w:rFonts w:cstheme="minorHAnsi"/>
          <w:sz w:val="24"/>
          <w:szCs w:val="24"/>
        </w:rPr>
        <w:t xml:space="preserve"> to take </w:t>
      </w:r>
      <w:r w:rsidR="004235F9">
        <w:rPr>
          <w:rFonts w:cstheme="minorHAnsi"/>
          <w:sz w:val="24"/>
          <w:szCs w:val="24"/>
        </w:rPr>
        <w:t xml:space="preserve">on </w:t>
      </w:r>
      <w:r w:rsidR="008208FF">
        <w:rPr>
          <w:rFonts w:cstheme="minorHAnsi"/>
          <w:sz w:val="24"/>
          <w:szCs w:val="24"/>
        </w:rPr>
        <w:t>these responsibilitie</w:t>
      </w:r>
      <w:r w:rsidR="00673164">
        <w:rPr>
          <w:rFonts w:cstheme="minorHAnsi"/>
          <w:sz w:val="24"/>
          <w:szCs w:val="24"/>
        </w:rPr>
        <w:t>s</w:t>
      </w:r>
      <w:r w:rsidR="008208FF">
        <w:rPr>
          <w:rFonts w:cstheme="minorHAnsi"/>
          <w:sz w:val="24"/>
          <w:szCs w:val="24"/>
        </w:rPr>
        <w:t xml:space="preserve">, </w:t>
      </w:r>
      <w:r w:rsidR="004235F9">
        <w:rPr>
          <w:rFonts w:cstheme="minorHAnsi"/>
          <w:sz w:val="24"/>
          <w:szCs w:val="24"/>
        </w:rPr>
        <w:t xml:space="preserve">while </w:t>
      </w:r>
      <w:r w:rsidR="008208FF">
        <w:rPr>
          <w:rFonts w:cstheme="minorHAnsi"/>
          <w:sz w:val="24"/>
          <w:szCs w:val="24"/>
        </w:rPr>
        <w:t>others overemphasised the business case, echo</w:t>
      </w:r>
      <w:r w:rsidR="004235F9">
        <w:rPr>
          <w:rFonts w:cstheme="minorHAnsi"/>
          <w:sz w:val="24"/>
          <w:szCs w:val="24"/>
        </w:rPr>
        <w:t xml:space="preserve">ing the neoliberal stance. </w:t>
      </w:r>
      <w:r w:rsidR="008208FF">
        <w:rPr>
          <w:rFonts w:cstheme="minorHAnsi"/>
          <w:sz w:val="24"/>
          <w:szCs w:val="24"/>
        </w:rPr>
        <w:t xml:space="preserve"> </w:t>
      </w:r>
      <w:r w:rsidR="004235F9">
        <w:rPr>
          <w:rFonts w:cstheme="minorHAnsi"/>
          <w:sz w:val="24"/>
          <w:szCs w:val="24"/>
        </w:rPr>
        <w:t>As a result,</w:t>
      </w:r>
      <w:r w:rsidR="008208FF">
        <w:rPr>
          <w:rFonts w:cstheme="minorHAnsi"/>
          <w:sz w:val="24"/>
          <w:szCs w:val="24"/>
        </w:rPr>
        <w:t xml:space="preserve"> Equality Diversity and Inclusion (EDI) policies have been created without implementing necessary regulations (Dickens, 1999; </w:t>
      </w:r>
      <w:proofErr w:type="spellStart"/>
      <w:r w:rsidR="008208FF">
        <w:rPr>
          <w:rFonts w:cstheme="minorHAnsi"/>
          <w:sz w:val="24"/>
          <w:szCs w:val="24"/>
        </w:rPr>
        <w:t>Jonsen</w:t>
      </w:r>
      <w:proofErr w:type="spellEnd"/>
      <w:r w:rsidR="008208FF">
        <w:rPr>
          <w:rFonts w:cstheme="minorHAnsi"/>
          <w:sz w:val="24"/>
          <w:szCs w:val="24"/>
        </w:rPr>
        <w:t xml:space="preserve"> at al. 2013; Vincent et al. 2023).</w:t>
      </w:r>
    </w:p>
    <w:p w:rsidR="006F3D35" w:rsidRPr="00F444D9" w:rsidRDefault="006F3D35" w:rsidP="006F3D3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‘moralisation’ of market</w:t>
      </w:r>
      <w:r w:rsidR="00673164">
        <w:rPr>
          <w:rFonts w:cstheme="minorHAnsi"/>
          <w:sz w:val="24"/>
          <w:szCs w:val="24"/>
        </w:rPr>
        <w:t>,</w:t>
      </w:r>
      <w:r w:rsidR="008208FF">
        <w:rPr>
          <w:rFonts w:cstheme="minorHAnsi"/>
          <w:sz w:val="24"/>
          <w:szCs w:val="24"/>
        </w:rPr>
        <w:t xml:space="preserve"> developed </w:t>
      </w:r>
      <w:r w:rsidR="00673164">
        <w:rPr>
          <w:rFonts w:cstheme="minorHAnsi"/>
          <w:sz w:val="24"/>
          <w:szCs w:val="24"/>
        </w:rPr>
        <w:t>under</w:t>
      </w:r>
      <w:r w:rsidR="008208FF">
        <w:rPr>
          <w:rFonts w:cstheme="minorHAnsi"/>
          <w:sz w:val="24"/>
          <w:szCs w:val="24"/>
        </w:rPr>
        <w:t xml:space="preserve"> the neoliberal</w:t>
      </w:r>
      <w:r w:rsidR="00673164">
        <w:rPr>
          <w:rFonts w:cstheme="minorHAnsi"/>
          <w:sz w:val="24"/>
          <w:szCs w:val="24"/>
        </w:rPr>
        <w:t xml:space="preserve"> regime,</w:t>
      </w:r>
      <w:r w:rsidR="004235F9">
        <w:rPr>
          <w:rFonts w:cstheme="minorHAnsi"/>
          <w:sz w:val="24"/>
          <w:szCs w:val="24"/>
        </w:rPr>
        <w:t xml:space="preserve"> has given rise to</w:t>
      </w:r>
      <w:r>
        <w:rPr>
          <w:rFonts w:cstheme="minorHAnsi"/>
          <w:sz w:val="24"/>
          <w:szCs w:val="24"/>
        </w:rPr>
        <w:t xml:space="preserve"> </w:t>
      </w:r>
      <w:r w:rsidRPr="00572AA9">
        <w:rPr>
          <w:rFonts w:cstheme="minorHAnsi"/>
          <w:sz w:val="24"/>
          <w:szCs w:val="24"/>
        </w:rPr>
        <w:t>the practice of ‘</w:t>
      </w:r>
      <w:proofErr w:type="spellStart"/>
      <w:r w:rsidRPr="00572AA9">
        <w:rPr>
          <w:rFonts w:cstheme="minorHAnsi"/>
          <w:sz w:val="24"/>
          <w:szCs w:val="24"/>
        </w:rPr>
        <w:t>responsibilisation</w:t>
      </w:r>
      <w:proofErr w:type="spellEnd"/>
      <w:r w:rsidRPr="00572AA9">
        <w:rPr>
          <w:rFonts w:cstheme="minorHAnsi"/>
          <w:sz w:val="24"/>
          <w:szCs w:val="24"/>
        </w:rPr>
        <w:t>’ as ‘a call of action,’ a government technique which encourages individual</w:t>
      </w:r>
      <w:r>
        <w:rPr>
          <w:rFonts w:cstheme="minorHAnsi"/>
          <w:sz w:val="24"/>
          <w:szCs w:val="24"/>
        </w:rPr>
        <w:t>s</w:t>
      </w:r>
      <w:r w:rsidRPr="00572AA9">
        <w:rPr>
          <w:rFonts w:cstheme="minorHAnsi"/>
          <w:sz w:val="24"/>
          <w:szCs w:val="24"/>
        </w:rPr>
        <w:t xml:space="preserve"> to take certain dispositions (Shamir, 2008)</w:t>
      </w:r>
      <w:r>
        <w:rPr>
          <w:rFonts w:cstheme="minorHAnsi"/>
          <w:sz w:val="24"/>
          <w:szCs w:val="24"/>
        </w:rPr>
        <w:t>.</w:t>
      </w:r>
      <w:r w:rsidR="00673164">
        <w:rPr>
          <w:rFonts w:cstheme="minorHAnsi"/>
          <w:sz w:val="24"/>
          <w:szCs w:val="24"/>
        </w:rPr>
        <w:t xml:space="preserve"> </w:t>
      </w:r>
      <w:r w:rsidR="004235F9">
        <w:rPr>
          <w:rFonts w:cstheme="minorHAnsi"/>
          <w:sz w:val="24"/>
          <w:szCs w:val="24"/>
        </w:rPr>
        <w:t xml:space="preserve">Consequently, we observe the proliferations </w:t>
      </w:r>
      <w:r w:rsidR="00667ACC" w:rsidRPr="00F444D9">
        <w:rPr>
          <w:rFonts w:cstheme="minorHAnsi"/>
          <w:sz w:val="24"/>
          <w:szCs w:val="24"/>
        </w:rPr>
        <w:t>of</w:t>
      </w:r>
      <w:r w:rsidR="00F444D9" w:rsidRPr="00F444D9">
        <w:rPr>
          <w:rFonts w:cstheme="minorHAnsi"/>
          <w:sz w:val="24"/>
          <w:szCs w:val="24"/>
        </w:rPr>
        <w:t xml:space="preserve"> social movements </w:t>
      </w:r>
      <w:r w:rsidR="00F444D9" w:rsidRPr="007A2C5C">
        <w:rPr>
          <w:color w:val="000000"/>
          <w:sz w:val="24"/>
          <w:szCs w:val="24"/>
        </w:rPr>
        <w:t>(</w:t>
      </w:r>
      <w:proofErr w:type="spellStart"/>
      <w:r w:rsidR="00F444D9" w:rsidRPr="007A2C5C">
        <w:rPr>
          <w:sz w:val="24"/>
          <w:szCs w:val="24"/>
        </w:rPr>
        <w:fldChar w:fldCharType="begin"/>
      </w:r>
      <w:r w:rsidR="00F444D9" w:rsidRPr="007A2C5C">
        <w:rPr>
          <w:sz w:val="24"/>
          <w:szCs w:val="24"/>
        </w:rPr>
        <w:instrText xml:space="preserve"> HYPERLINK "https://journals-sagepub-com.ezproxy.brunel.ac.uk/reader/content/18d42652ea4/10.1177/09500170231217660/format/epub/EPUB/xhtml/index.xhtml?hmac=1706268022-KpxpyAwhW7eqY350EDVWy2QwsNJmAm9Pylt%2FE651tmA%3D" \l "bibr103-09500170231217660" </w:instrText>
      </w:r>
      <w:r w:rsidR="00F444D9" w:rsidRPr="007A2C5C">
        <w:rPr>
          <w:sz w:val="24"/>
          <w:szCs w:val="24"/>
        </w:rPr>
        <w:fldChar w:fldCharType="separate"/>
      </w:r>
      <w:r w:rsidR="00F444D9" w:rsidRPr="007A2C5C">
        <w:rPr>
          <w:rStyle w:val="Hyperlink"/>
          <w:color w:val="000000"/>
          <w:sz w:val="24"/>
          <w:szCs w:val="24"/>
          <w:u w:val="none"/>
        </w:rPr>
        <w:t>Soytemel</w:t>
      </w:r>
      <w:proofErr w:type="spellEnd"/>
      <w:r w:rsidR="00F444D9" w:rsidRPr="007A2C5C">
        <w:rPr>
          <w:rStyle w:val="Hyperlink"/>
          <w:color w:val="000000"/>
          <w:sz w:val="24"/>
          <w:szCs w:val="24"/>
          <w:u w:val="none"/>
        </w:rPr>
        <w:t>, 2013</w:t>
      </w:r>
      <w:r w:rsidR="00F444D9" w:rsidRPr="007A2C5C">
        <w:rPr>
          <w:sz w:val="24"/>
          <w:szCs w:val="24"/>
        </w:rPr>
        <w:fldChar w:fldCharType="end"/>
      </w:r>
      <w:r w:rsidR="00F444D9" w:rsidRPr="00F444D9">
        <w:rPr>
          <w:color w:val="000000"/>
          <w:sz w:val="24"/>
          <w:szCs w:val="24"/>
        </w:rPr>
        <w:t>) and solidarity initiatives (</w:t>
      </w:r>
      <w:proofErr w:type="spellStart"/>
      <w:r w:rsidR="00F444D9" w:rsidRPr="007A2C5C">
        <w:rPr>
          <w:sz w:val="24"/>
          <w:szCs w:val="24"/>
        </w:rPr>
        <w:fldChar w:fldCharType="begin"/>
      </w:r>
      <w:r w:rsidR="00F444D9" w:rsidRPr="007A2C5C">
        <w:rPr>
          <w:sz w:val="24"/>
          <w:szCs w:val="24"/>
        </w:rPr>
        <w:instrText xml:space="preserve"> HYPERLINK "https://journals-sagepub-com.ezproxy.brunel.ac.uk/reader/content/18d42652ea4/10.1177/09500170231217660/format/epub/EPUB/xhtml/index.xhtml?hmac=1706268022-KpxpyAwhW7eqY350EDVWy2QwsNJmAm9Pylt%2FE651tmA%3D" \l "bibr30-09500170231217660" </w:instrText>
      </w:r>
      <w:r w:rsidR="00F444D9" w:rsidRPr="007A2C5C">
        <w:rPr>
          <w:sz w:val="24"/>
          <w:szCs w:val="24"/>
        </w:rPr>
        <w:fldChar w:fldCharType="separate"/>
      </w:r>
      <w:r w:rsidR="00F444D9" w:rsidRPr="007A2C5C">
        <w:rPr>
          <w:rStyle w:val="Hyperlink"/>
          <w:color w:val="000000"/>
          <w:sz w:val="24"/>
          <w:szCs w:val="24"/>
          <w:u w:val="none"/>
        </w:rPr>
        <w:t>Daskalaki</w:t>
      </w:r>
      <w:proofErr w:type="spellEnd"/>
      <w:r w:rsidR="00F444D9" w:rsidRPr="007A2C5C">
        <w:rPr>
          <w:rStyle w:val="Hyperlink"/>
          <w:color w:val="000000"/>
          <w:sz w:val="24"/>
          <w:szCs w:val="24"/>
          <w:u w:val="none"/>
        </w:rPr>
        <w:t>, 2017</w:t>
      </w:r>
      <w:r w:rsidR="00F444D9" w:rsidRPr="007A2C5C">
        <w:rPr>
          <w:sz w:val="24"/>
          <w:szCs w:val="24"/>
        </w:rPr>
        <w:fldChar w:fldCharType="end"/>
      </w:r>
      <w:r w:rsidR="00F444D9" w:rsidRPr="007A2C5C">
        <w:rPr>
          <w:color w:val="000000"/>
          <w:sz w:val="24"/>
          <w:szCs w:val="24"/>
        </w:rPr>
        <w:t>; </w:t>
      </w:r>
      <w:hyperlink r:id="rId6" w:anchor="bibr77-09500170231217660" w:history="1">
        <w:r w:rsidR="00F444D9" w:rsidRPr="007A2C5C">
          <w:rPr>
            <w:rStyle w:val="Hyperlink"/>
            <w:color w:val="000000"/>
            <w:sz w:val="24"/>
            <w:szCs w:val="24"/>
            <w:u w:val="none"/>
          </w:rPr>
          <w:t>Meliou,2020</w:t>
        </w:r>
      </w:hyperlink>
      <w:r w:rsidR="00F444D9" w:rsidRPr="007A2C5C">
        <w:rPr>
          <w:color w:val="000000"/>
          <w:sz w:val="24"/>
          <w:szCs w:val="24"/>
        </w:rPr>
        <w:t>)</w:t>
      </w:r>
      <w:r w:rsidR="004235F9" w:rsidRPr="007A2C5C">
        <w:rPr>
          <w:color w:val="000000"/>
          <w:sz w:val="24"/>
          <w:szCs w:val="24"/>
        </w:rPr>
        <w:t xml:space="preserve">, </w:t>
      </w:r>
      <w:r w:rsidR="004235F9">
        <w:rPr>
          <w:color w:val="000000"/>
          <w:sz w:val="24"/>
          <w:szCs w:val="24"/>
        </w:rPr>
        <w:t>that</w:t>
      </w:r>
      <w:r w:rsidR="00F444D9" w:rsidRPr="00F444D9">
        <w:rPr>
          <w:color w:val="000000"/>
          <w:sz w:val="24"/>
          <w:szCs w:val="24"/>
        </w:rPr>
        <w:t xml:space="preserve"> </w:t>
      </w:r>
      <w:r w:rsidR="00F444D9">
        <w:rPr>
          <w:color w:val="000000"/>
          <w:sz w:val="24"/>
          <w:szCs w:val="24"/>
        </w:rPr>
        <w:t>represent</w:t>
      </w:r>
      <w:r w:rsidR="00F462F1">
        <w:rPr>
          <w:color w:val="000000"/>
          <w:sz w:val="24"/>
          <w:szCs w:val="24"/>
        </w:rPr>
        <w:t>ed</w:t>
      </w:r>
      <w:r w:rsidR="00F444D9">
        <w:rPr>
          <w:color w:val="000000"/>
          <w:sz w:val="24"/>
          <w:szCs w:val="24"/>
        </w:rPr>
        <w:t xml:space="preserve"> social demands, although structure inequalities still persist.</w:t>
      </w:r>
      <w:r w:rsidR="001053A4">
        <w:rPr>
          <w:color w:val="000000"/>
          <w:sz w:val="24"/>
          <w:szCs w:val="24"/>
        </w:rPr>
        <w:t xml:space="preserve"> For instance, </w:t>
      </w:r>
      <w:r w:rsidR="00F06993">
        <w:rPr>
          <w:color w:val="000000"/>
          <w:sz w:val="24"/>
          <w:szCs w:val="24"/>
        </w:rPr>
        <w:t>in the aftermath of</w:t>
      </w:r>
      <w:r w:rsidR="00F462F1">
        <w:rPr>
          <w:color w:val="000000"/>
          <w:sz w:val="24"/>
          <w:szCs w:val="24"/>
        </w:rPr>
        <w:t xml:space="preserve"> social</w:t>
      </w:r>
      <w:r w:rsidR="00F06993">
        <w:rPr>
          <w:color w:val="000000"/>
          <w:sz w:val="24"/>
          <w:szCs w:val="24"/>
        </w:rPr>
        <w:t xml:space="preserve"> disasters, it is common to </w:t>
      </w:r>
      <w:r w:rsidR="004235F9">
        <w:rPr>
          <w:color w:val="000000"/>
          <w:sz w:val="24"/>
          <w:szCs w:val="24"/>
        </w:rPr>
        <w:t>witness</w:t>
      </w:r>
      <w:r w:rsidR="00F06993">
        <w:rPr>
          <w:color w:val="000000"/>
          <w:sz w:val="24"/>
          <w:szCs w:val="24"/>
        </w:rPr>
        <w:t xml:space="preserve">  public and charity organisations</w:t>
      </w:r>
      <w:r w:rsidR="004235F9">
        <w:rPr>
          <w:color w:val="000000"/>
          <w:sz w:val="24"/>
          <w:szCs w:val="24"/>
        </w:rPr>
        <w:t xml:space="preserve"> providing support</w:t>
      </w:r>
      <w:r w:rsidR="00F06993">
        <w:rPr>
          <w:color w:val="000000"/>
          <w:sz w:val="24"/>
          <w:szCs w:val="24"/>
        </w:rPr>
        <w:t xml:space="preserve">, while the government actions </w:t>
      </w:r>
      <w:r w:rsidR="004235F9">
        <w:rPr>
          <w:color w:val="000000"/>
          <w:sz w:val="24"/>
          <w:szCs w:val="24"/>
        </w:rPr>
        <w:t>remain inconsistent</w:t>
      </w:r>
      <w:r w:rsidR="00F06993">
        <w:rPr>
          <w:color w:val="000000"/>
          <w:sz w:val="24"/>
          <w:szCs w:val="24"/>
        </w:rPr>
        <w:t>. Social</w:t>
      </w:r>
      <w:r w:rsidR="00F462F1">
        <w:rPr>
          <w:color w:val="000000"/>
          <w:sz w:val="24"/>
          <w:szCs w:val="24"/>
        </w:rPr>
        <w:t xml:space="preserve"> </w:t>
      </w:r>
      <w:r w:rsidR="00F06993">
        <w:rPr>
          <w:color w:val="000000"/>
          <w:sz w:val="24"/>
          <w:szCs w:val="24"/>
        </w:rPr>
        <w:t xml:space="preserve">disasters are not random, and often </w:t>
      </w:r>
      <w:r w:rsidR="00F06993">
        <w:rPr>
          <w:rFonts w:cstheme="minorHAnsi"/>
          <w:sz w:val="24"/>
          <w:szCs w:val="24"/>
        </w:rPr>
        <w:t>result</w:t>
      </w:r>
      <w:r w:rsidR="004D7632">
        <w:rPr>
          <w:rFonts w:cstheme="minorHAnsi"/>
          <w:sz w:val="24"/>
          <w:szCs w:val="24"/>
        </w:rPr>
        <w:t xml:space="preserve"> from</w:t>
      </w:r>
      <w:r w:rsidR="00F06993">
        <w:rPr>
          <w:rFonts w:cstheme="minorHAnsi"/>
          <w:sz w:val="24"/>
          <w:szCs w:val="24"/>
        </w:rPr>
        <w:t xml:space="preserve"> social, political and economic structures</w:t>
      </w:r>
      <w:r w:rsidR="004D7632">
        <w:rPr>
          <w:rFonts w:cstheme="minorHAnsi"/>
          <w:sz w:val="24"/>
          <w:szCs w:val="24"/>
        </w:rPr>
        <w:t xml:space="preserve">. Consequently, </w:t>
      </w:r>
      <w:r w:rsidR="00F06993">
        <w:rPr>
          <w:rFonts w:cstheme="minorHAnsi"/>
          <w:sz w:val="24"/>
          <w:szCs w:val="24"/>
        </w:rPr>
        <w:t xml:space="preserve">disrupted communities </w:t>
      </w:r>
      <w:r w:rsidR="004D7632">
        <w:rPr>
          <w:rFonts w:cstheme="minorHAnsi"/>
          <w:sz w:val="24"/>
          <w:szCs w:val="24"/>
        </w:rPr>
        <w:t>face</w:t>
      </w:r>
      <w:r w:rsidR="002548C8">
        <w:rPr>
          <w:rFonts w:cstheme="minorHAnsi"/>
          <w:sz w:val="24"/>
          <w:szCs w:val="24"/>
        </w:rPr>
        <w:t xml:space="preserve"> difficulties </w:t>
      </w:r>
      <w:r w:rsidR="004D7632">
        <w:rPr>
          <w:rFonts w:cstheme="minorHAnsi"/>
          <w:sz w:val="24"/>
          <w:szCs w:val="24"/>
        </w:rPr>
        <w:t>in recovering</w:t>
      </w:r>
      <w:r w:rsidR="002548C8">
        <w:rPr>
          <w:rFonts w:cstheme="minorHAnsi"/>
          <w:sz w:val="24"/>
          <w:szCs w:val="24"/>
        </w:rPr>
        <w:t xml:space="preserve"> without a structural support</w:t>
      </w:r>
      <w:r w:rsidR="00F06993">
        <w:rPr>
          <w:rFonts w:cstheme="minorHAnsi"/>
          <w:sz w:val="24"/>
          <w:szCs w:val="24"/>
        </w:rPr>
        <w:t xml:space="preserve"> </w:t>
      </w:r>
      <w:r w:rsidR="00F06993">
        <w:rPr>
          <w:rFonts w:cstheme="minorHAnsi"/>
          <w:color w:val="333333"/>
          <w:sz w:val="24"/>
          <w:szCs w:val="24"/>
          <w:shd w:val="clear" w:color="auto" w:fill="FCFCFC"/>
        </w:rPr>
        <w:t>(</w:t>
      </w:r>
      <w:r w:rsidR="00F06993" w:rsidRPr="00C838E4">
        <w:rPr>
          <w:rFonts w:cstheme="minorHAnsi"/>
          <w:color w:val="333333"/>
          <w:sz w:val="24"/>
          <w:szCs w:val="24"/>
          <w:shd w:val="clear" w:color="auto" w:fill="FCFCFC"/>
        </w:rPr>
        <w:t>Rodriguez</w:t>
      </w:r>
      <w:r w:rsidR="00F06993">
        <w:rPr>
          <w:rFonts w:cstheme="minorHAnsi"/>
          <w:color w:val="333333"/>
          <w:sz w:val="24"/>
          <w:szCs w:val="24"/>
          <w:shd w:val="clear" w:color="auto" w:fill="FCFCFC"/>
        </w:rPr>
        <w:t xml:space="preserve"> and</w:t>
      </w:r>
      <w:r w:rsidR="00F06993" w:rsidRPr="00C838E4">
        <w:rPr>
          <w:rFonts w:cstheme="minorHAnsi"/>
          <w:color w:val="333333"/>
          <w:sz w:val="24"/>
          <w:szCs w:val="24"/>
          <w:shd w:val="clear" w:color="auto" w:fill="FCFCFC"/>
        </w:rPr>
        <w:t xml:space="preserve"> </w:t>
      </w:r>
      <w:proofErr w:type="spellStart"/>
      <w:r w:rsidR="00F06993" w:rsidRPr="00C838E4">
        <w:rPr>
          <w:rFonts w:cstheme="minorHAnsi"/>
          <w:color w:val="333333"/>
          <w:sz w:val="24"/>
          <w:szCs w:val="24"/>
          <w:shd w:val="clear" w:color="auto" w:fill="FCFCFC"/>
        </w:rPr>
        <w:t>Barnshaw</w:t>
      </w:r>
      <w:proofErr w:type="spellEnd"/>
      <w:r w:rsidR="00F06993">
        <w:rPr>
          <w:rFonts w:cstheme="minorHAnsi"/>
          <w:color w:val="333333"/>
          <w:sz w:val="24"/>
          <w:szCs w:val="24"/>
          <w:shd w:val="clear" w:color="auto" w:fill="FCFCFC"/>
        </w:rPr>
        <w:t>, 2006).</w:t>
      </w:r>
    </w:p>
    <w:p w:rsidR="001053A4" w:rsidRPr="001053A4" w:rsidRDefault="00F444D9" w:rsidP="001053A4">
      <w:pPr>
        <w:jc w:val="both"/>
        <w:rPr>
          <w:rFonts w:cstheme="minorHAnsi"/>
          <w:sz w:val="24"/>
          <w:szCs w:val="24"/>
        </w:rPr>
      </w:pPr>
      <w:r w:rsidRPr="001053A4">
        <w:rPr>
          <w:sz w:val="24"/>
          <w:szCs w:val="24"/>
        </w:rPr>
        <w:t xml:space="preserve">The stream </w:t>
      </w:r>
      <w:r w:rsidR="001053A4">
        <w:rPr>
          <w:sz w:val="24"/>
          <w:szCs w:val="24"/>
        </w:rPr>
        <w:t>encourages the submission of</w:t>
      </w:r>
      <w:r w:rsidRPr="001053A4">
        <w:rPr>
          <w:sz w:val="24"/>
          <w:szCs w:val="24"/>
        </w:rPr>
        <w:t xml:space="preserve"> paper</w:t>
      </w:r>
      <w:r w:rsidR="001053A4">
        <w:rPr>
          <w:sz w:val="24"/>
          <w:szCs w:val="24"/>
        </w:rPr>
        <w:t>s</w:t>
      </w:r>
      <w:r w:rsidRPr="001053A4">
        <w:rPr>
          <w:sz w:val="24"/>
          <w:szCs w:val="24"/>
        </w:rPr>
        <w:t xml:space="preserve"> </w:t>
      </w:r>
      <w:r w:rsidR="00F462F1">
        <w:rPr>
          <w:sz w:val="24"/>
          <w:szCs w:val="24"/>
        </w:rPr>
        <w:t xml:space="preserve">that </w:t>
      </w:r>
      <w:r w:rsidRPr="001053A4">
        <w:rPr>
          <w:sz w:val="24"/>
          <w:szCs w:val="24"/>
        </w:rPr>
        <w:t xml:space="preserve">explore </w:t>
      </w:r>
      <w:r w:rsidR="002548C8">
        <w:rPr>
          <w:sz w:val="24"/>
          <w:szCs w:val="24"/>
        </w:rPr>
        <w:t>current</w:t>
      </w:r>
      <w:r w:rsidR="001053A4" w:rsidRPr="001053A4">
        <w:rPr>
          <w:sz w:val="24"/>
          <w:szCs w:val="24"/>
        </w:rPr>
        <w:t xml:space="preserve"> challenges related to EDI using the lens of ‘</w:t>
      </w:r>
      <w:proofErr w:type="spellStart"/>
      <w:r w:rsidR="001053A4" w:rsidRPr="001053A4">
        <w:rPr>
          <w:sz w:val="24"/>
          <w:szCs w:val="24"/>
        </w:rPr>
        <w:t>responsibilisation</w:t>
      </w:r>
      <w:proofErr w:type="spellEnd"/>
      <w:r w:rsidR="001053A4" w:rsidRPr="001053A4">
        <w:rPr>
          <w:sz w:val="24"/>
          <w:szCs w:val="24"/>
        </w:rPr>
        <w:t>’</w:t>
      </w:r>
      <w:r w:rsidR="002548C8">
        <w:rPr>
          <w:sz w:val="24"/>
          <w:szCs w:val="24"/>
        </w:rPr>
        <w:t xml:space="preserve"> and offer new alternative solutions. </w:t>
      </w:r>
      <w:r w:rsidR="001053A4" w:rsidRPr="001053A4">
        <w:rPr>
          <w:rFonts w:cstheme="minorHAnsi"/>
          <w:sz w:val="24"/>
          <w:szCs w:val="24"/>
        </w:rPr>
        <w:t>The stream welcomes both empirical and theoretical papers, with an emphasis on inter-disciplinary research</w:t>
      </w:r>
      <w:r w:rsidR="001053A4">
        <w:rPr>
          <w:rFonts w:cstheme="minorHAnsi"/>
          <w:sz w:val="24"/>
          <w:szCs w:val="24"/>
        </w:rPr>
        <w:t>.</w:t>
      </w:r>
    </w:p>
    <w:p w:rsidR="006F3D35" w:rsidRPr="002548C8" w:rsidRDefault="002548C8" w:rsidP="006F3D35">
      <w:pPr>
        <w:spacing w:before="240"/>
        <w:jc w:val="both"/>
        <w:rPr>
          <w:b/>
          <w:sz w:val="24"/>
          <w:szCs w:val="24"/>
        </w:rPr>
      </w:pPr>
      <w:r w:rsidRPr="002548C8">
        <w:rPr>
          <w:b/>
          <w:sz w:val="24"/>
          <w:szCs w:val="24"/>
        </w:rPr>
        <w:lastRenderedPageBreak/>
        <w:t>References</w:t>
      </w:r>
    </w:p>
    <w:p w:rsidR="00101F5E" w:rsidRDefault="00101F5E" w:rsidP="00101F5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E3629">
        <w:rPr>
          <w:rFonts w:cstheme="minorHAnsi"/>
          <w:sz w:val="24"/>
          <w:szCs w:val="24"/>
        </w:rPr>
        <w:t>Carvalho, L., and Rodrigues, J. (2006).</w:t>
      </w:r>
      <w:r w:rsidRPr="00F06166">
        <w:rPr>
          <w:rFonts w:cstheme="minorHAnsi"/>
          <w:sz w:val="24"/>
          <w:szCs w:val="24"/>
        </w:rPr>
        <w:t xml:space="preserve"> ‘On markets and morality: Revisiting Fred Hirsch</w:t>
      </w:r>
      <w:bookmarkStart w:id="0" w:name="_Int_XIyUWXAT"/>
      <w:r w:rsidRPr="00F06166">
        <w:rPr>
          <w:rFonts w:cstheme="minorHAnsi"/>
          <w:sz w:val="24"/>
          <w:szCs w:val="24"/>
        </w:rPr>
        <w:t>’.</w:t>
      </w:r>
      <w:bookmarkEnd w:id="0"/>
      <w:r w:rsidRPr="00F06166">
        <w:rPr>
          <w:rFonts w:cstheme="minorHAnsi"/>
          <w:sz w:val="24"/>
          <w:szCs w:val="24"/>
        </w:rPr>
        <w:t xml:space="preserve"> </w:t>
      </w:r>
      <w:r w:rsidRPr="00F06166">
        <w:rPr>
          <w:rFonts w:cstheme="minorHAnsi"/>
          <w:i/>
          <w:iCs/>
          <w:sz w:val="24"/>
          <w:szCs w:val="24"/>
        </w:rPr>
        <w:t>Review of Social Economy</w:t>
      </w:r>
      <w:r w:rsidRPr="00F06166">
        <w:rPr>
          <w:rFonts w:cstheme="minorHAnsi"/>
          <w:sz w:val="24"/>
          <w:szCs w:val="24"/>
        </w:rPr>
        <w:t>, 64(3), 331-48.</w:t>
      </w:r>
    </w:p>
    <w:p w:rsidR="00101F5E" w:rsidRDefault="00101F5E" w:rsidP="00101F5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01F5E" w:rsidRPr="00F06166" w:rsidRDefault="00101F5E" w:rsidP="00101F5E">
      <w:pPr>
        <w:shd w:val="clear" w:color="auto" w:fill="FFFFFF"/>
        <w:spacing w:after="0" w:line="240" w:lineRule="auto"/>
        <w:rPr>
          <w:rStyle w:val="ff2"/>
          <w:rFonts w:cstheme="minorHAnsi"/>
          <w:color w:val="000000"/>
          <w:sz w:val="24"/>
          <w:szCs w:val="24"/>
          <w:shd w:val="clear" w:color="auto" w:fill="FFFFFF"/>
        </w:rPr>
      </w:pPr>
      <w:r w:rsidRPr="00FE3629">
        <w:rPr>
          <w:rFonts w:eastAsia="Times New Roman" w:cstheme="minorHAnsi"/>
          <w:color w:val="000000"/>
          <w:sz w:val="24"/>
          <w:szCs w:val="24"/>
        </w:rPr>
        <w:t>Dickens L (1999)</w:t>
      </w:r>
      <w:r w:rsidRPr="00F06166">
        <w:rPr>
          <w:rFonts w:eastAsia="Times New Roman" w:cstheme="minorHAnsi"/>
          <w:color w:val="000000"/>
          <w:sz w:val="24"/>
          <w:szCs w:val="24"/>
        </w:rPr>
        <w:t xml:space="preserve"> Beyond the business case: A three-pronged approach to equality action. </w:t>
      </w:r>
      <w:r w:rsidRPr="00F06166">
        <w:rPr>
          <w:rFonts w:cstheme="minorHAnsi"/>
          <w:i/>
          <w:color w:val="000000"/>
          <w:sz w:val="24"/>
          <w:szCs w:val="24"/>
          <w:shd w:val="clear" w:color="auto" w:fill="FFFFFF"/>
        </w:rPr>
        <w:t>Human Resource Management Journal</w:t>
      </w:r>
      <w:r w:rsidRPr="00F06166">
        <w:rPr>
          <w:rStyle w:val="ff2"/>
          <w:rFonts w:cstheme="minorHAnsi"/>
          <w:color w:val="000000"/>
          <w:sz w:val="24"/>
          <w:szCs w:val="24"/>
          <w:shd w:val="clear" w:color="auto" w:fill="FFFFFF"/>
        </w:rPr>
        <w:t>, 9(1): 9-19.</w:t>
      </w:r>
    </w:p>
    <w:p w:rsidR="00101F5E" w:rsidRPr="00F06166" w:rsidRDefault="00101F5E" w:rsidP="00101F5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101F5E" w:rsidRPr="00F06166" w:rsidRDefault="00101F5E" w:rsidP="00101F5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FE3629">
        <w:rPr>
          <w:rFonts w:eastAsia="Times New Roman" w:cstheme="minorHAnsi"/>
          <w:color w:val="000000"/>
          <w:sz w:val="24"/>
          <w:szCs w:val="24"/>
        </w:rPr>
        <w:t>Esping</w:t>
      </w:r>
      <w:proofErr w:type="spellEnd"/>
      <w:r w:rsidRPr="00FE3629">
        <w:rPr>
          <w:rFonts w:eastAsia="Times New Roman" w:cstheme="minorHAnsi"/>
          <w:color w:val="000000"/>
          <w:sz w:val="24"/>
          <w:szCs w:val="24"/>
        </w:rPr>
        <w:t>-Andersen, G.</w:t>
      </w:r>
      <w:r w:rsidRPr="00F06166">
        <w:rPr>
          <w:rFonts w:eastAsia="Times New Roman" w:cstheme="minorHAnsi"/>
          <w:color w:val="000000"/>
          <w:sz w:val="24"/>
          <w:szCs w:val="24"/>
        </w:rPr>
        <w:t xml:space="preserve"> (2015)</w:t>
      </w:r>
      <w:r>
        <w:rPr>
          <w:rFonts w:eastAsia="Times New Roman" w:cstheme="minorHAnsi"/>
          <w:color w:val="000000"/>
          <w:sz w:val="24"/>
          <w:szCs w:val="24"/>
        </w:rPr>
        <w:t>.</w:t>
      </w:r>
      <w:r w:rsidRPr="00F06166">
        <w:rPr>
          <w:rFonts w:eastAsia="Times New Roman" w:cstheme="minorHAnsi"/>
          <w:color w:val="000000"/>
          <w:sz w:val="24"/>
          <w:szCs w:val="24"/>
        </w:rPr>
        <w:t xml:space="preserve"> Welfare regimes and social stratification. Journal of European </w:t>
      </w:r>
      <w:r w:rsidRPr="00F06166">
        <w:rPr>
          <w:rFonts w:cstheme="minorHAnsi"/>
          <w:color w:val="000000"/>
          <w:sz w:val="24"/>
          <w:szCs w:val="24"/>
          <w:shd w:val="clear" w:color="auto" w:fill="FFFFFF"/>
        </w:rPr>
        <w:t>Social Policy</w:t>
      </w:r>
      <w:r w:rsidRPr="00F06166">
        <w:rPr>
          <w:rStyle w:val="ff2"/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Pr="00F06166">
        <w:rPr>
          <w:rStyle w:val="ws2"/>
          <w:rFonts w:cstheme="minorHAnsi"/>
          <w:color w:val="000000"/>
          <w:sz w:val="24"/>
          <w:szCs w:val="24"/>
          <w:shd w:val="clear" w:color="auto" w:fill="FFFFFF"/>
        </w:rPr>
        <w:t>25</w:t>
      </w:r>
      <w:r w:rsidRPr="00F06166">
        <w:rPr>
          <w:rStyle w:val="ff2"/>
          <w:rFonts w:cstheme="minorHAnsi"/>
          <w:color w:val="000000"/>
          <w:sz w:val="24"/>
          <w:szCs w:val="24"/>
          <w:shd w:val="clear" w:color="auto" w:fill="FFFFFF"/>
        </w:rPr>
        <w:t>(1): 124-134.</w:t>
      </w:r>
    </w:p>
    <w:p w:rsidR="00101F5E" w:rsidRDefault="00101F5E" w:rsidP="00101F5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01F5E" w:rsidRPr="00F06166" w:rsidRDefault="00101F5E" w:rsidP="00101F5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E3629">
        <w:rPr>
          <w:rFonts w:cstheme="minorHAnsi"/>
          <w:sz w:val="24"/>
          <w:szCs w:val="24"/>
        </w:rPr>
        <w:t>Jonsen</w:t>
      </w:r>
      <w:proofErr w:type="spellEnd"/>
      <w:r w:rsidRPr="00FE3629">
        <w:rPr>
          <w:rFonts w:cstheme="minorHAnsi"/>
          <w:sz w:val="24"/>
          <w:szCs w:val="24"/>
        </w:rPr>
        <w:t xml:space="preserve">, K., </w:t>
      </w:r>
      <w:proofErr w:type="spellStart"/>
      <w:r w:rsidRPr="00FE3629">
        <w:rPr>
          <w:rFonts w:cstheme="minorHAnsi"/>
          <w:sz w:val="24"/>
          <w:szCs w:val="24"/>
        </w:rPr>
        <w:t>Tatli</w:t>
      </w:r>
      <w:proofErr w:type="spellEnd"/>
      <w:r w:rsidRPr="00FE3629">
        <w:rPr>
          <w:rFonts w:cstheme="minorHAnsi"/>
          <w:sz w:val="24"/>
          <w:szCs w:val="24"/>
        </w:rPr>
        <w:t xml:space="preserve">, A., </w:t>
      </w:r>
      <w:proofErr w:type="spellStart"/>
      <w:r w:rsidRPr="00FE3629">
        <w:rPr>
          <w:rFonts w:cstheme="minorHAnsi"/>
          <w:sz w:val="24"/>
          <w:szCs w:val="24"/>
        </w:rPr>
        <w:t>Özbilgin</w:t>
      </w:r>
      <w:proofErr w:type="spellEnd"/>
      <w:r w:rsidRPr="00FE3629">
        <w:rPr>
          <w:rFonts w:cstheme="minorHAnsi"/>
          <w:sz w:val="24"/>
          <w:szCs w:val="24"/>
        </w:rPr>
        <w:t>, M. F., &amp; Bell, M. P.</w:t>
      </w:r>
      <w:r w:rsidRPr="00F06166">
        <w:rPr>
          <w:rFonts w:cstheme="minorHAnsi"/>
          <w:sz w:val="24"/>
          <w:szCs w:val="24"/>
        </w:rPr>
        <w:t xml:space="preserve"> (2013). ‘The tragedy of the </w:t>
      </w:r>
      <w:proofErr w:type="spellStart"/>
      <w:r w:rsidRPr="00F06166">
        <w:rPr>
          <w:rFonts w:cstheme="minorHAnsi"/>
          <w:sz w:val="24"/>
          <w:szCs w:val="24"/>
        </w:rPr>
        <w:t>uncommons</w:t>
      </w:r>
      <w:proofErr w:type="spellEnd"/>
      <w:r w:rsidRPr="00F06166">
        <w:rPr>
          <w:rFonts w:cstheme="minorHAnsi"/>
          <w:sz w:val="24"/>
          <w:szCs w:val="24"/>
        </w:rPr>
        <w:t xml:space="preserve">: Reframing workforce diversity’. </w:t>
      </w:r>
      <w:r w:rsidRPr="00F06166">
        <w:rPr>
          <w:rFonts w:cstheme="minorHAnsi"/>
          <w:i/>
          <w:iCs/>
          <w:sz w:val="24"/>
          <w:szCs w:val="24"/>
        </w:rPr>
        <w:t>Human Relations</w:t>
      </w:r>
      <w:r w:rsidRPr="00F06166">
        <w:rPr>
          <w:rFonts w:cstheme="minorHAnsi"/>
          <w:sz w:val="24"/>
          <w:szCs w:val="24"/>
        </w:rPr>
        <w:t>, 66(2), 271–294.</w:t>
      </w:r>
    </w:p>
    <w:p w:rsidR="00101F5E" w:rsidRDefault="00101F5E" w:rsidP="00101F5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01F5E" w:rsidRPr="00101F5E" w:rsidRDefault="00101F5E" w:rsidP="00101F5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  <w:proofErr w:type="spellStart"/>
      <w:r w:rsidRPr="00101F5E">
        <w:rPr>
          <w:rFonts w:cstheme="minorHAnsi"/>
          <w:color w:val="333333"/>
          <w:sz w:val="24"/>
          <w:szCs w:val="24"/>
          <w:shd w:val="clear" w:color="auto" w:fill="FFFFFF"/>
        </w:rPr>
        <w:t>Meliou</w:t>
      </w:r>
      <w:proofErr w:type="spellEnd"/>
      <w:r w:rsidRPr="00101F5E">
        <w:rPr>
          <w:rFonts w:cstheme="minorHAnsi"/>
          <w:color w:val="333333"/>
          <w:sz w:val="24"/>
          <w:szCs w:val="24"/>
          <w:shd w:val="clear" w:color="auto" w:fill="FFFFFF"/>
        </w:rPr>
        <w:t xml:space="preserve"> E (2020) Family as a </w:t>
      </w:r>
      <w:proofErr w:type="spellStart"/>
      <w:r w:rsidRPr="00101F5E">
        <w:rPr>
          <w:rFonts w:cstheme="minorHAnsi"/>
          <w:color w:val="333333"/>
          <w:sz w:val="24"/>
          <w:szCs w:val="24"/>
          <w:shd w:val="clear" w:color="auto" w:fill="FFFFFF"/>
        </w:rPr>
        <w:t>eudaimonic</w:t>
      </w:r>
      <w:proofErr w:type="spellEnd"/>
      <w:r w:rsidRPr="00101F5E">
        <w:rPr>
          <w:rFonts w:cstheme="minorHAnsi"/>
          <w:color w:val="333333"/>
          <w:sz w:val="24"/>
          <w:szCs w:val="24"/>
          <w:shd w:val="clear" w:color="auto" w:fill="FFFFFF"/>
        </w:rPr>
        <w:t xml:space="preserve"> bubble: women entrepreneurs mobilizing resources of care during persistent financial crisis and austerity. </w:t>
      </w:r>
      <w:r w:rsidRPr="00101F5E">
        <w:rPr>
          <w:rStyle w:val="Emphasis"/>
          <w:rFonts w:cstheme="minorHAnsi"/>
          <w:color w:val="333333"/>
          <w:sz w:val="24"/>
          <w:szCs w:val="24"/>
          <w:shd w:val="clear" w:color="auto" w:fill="FFFFFF"/>
        </w:rPr>
        <w:t>Gender, Work and Organisation</w:t>
      </w:r>
      <w:r w:rsidRPr="00101F5E">
        <w:rPr>
          <w:rFonts w:cstheme="minorHAnsi"/>
          <w:color w:val="333333"/>
          <w:sz w:val="24"/>
          <w:szCs w:val="24"/>
          <w:shd w:val="clear" w:color="auto" w:fill="FFFFFF"/>
        </w:rPr>
        <w:t> 27(2): 218–235.</w:t>
      </w:r>
    </w:p>
    <w:p w:rsidR="00101F5E" w:rsidRDefault="00101F5E" w:rsidP="00101F5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01F5E" w:rsidRPr="00F06166" w:rsidRDefault="00101F5E" w:rsidP="00101F5E">
      <w:pPr>
        <w:rPr>
          <w:rFonts w:cstheme="minorHAnsi"/>
          <w:color w:val="333333"/>
          <w:sz w:val="24"/>
          <w:szCs w:val="24"/>
          <w:shd w:val="clear" w:color="auto" w:fill="FCFCFC"/>
        </w:rPr>
      </w:pPr>
      <w:r w:rsidRPr="00FE3629">
        <w:rPr>
          <w:rFonts w:cstheme="minorHAnsi"/>
          <w:color w:val="333333"/>
          <w:sz w:val="24"/>
          <w:szCs w:val="24"/>
          <w:shd w:val="clear" w:color="auto" w:fill="FCFCFC"/>
        </w:rPr>
        <w:t xml:space="preserve">Rodriguez, H., and </w:t>
      </w:r>
      <w:proofErr w:type="spellStart"/>
      <w:r w:rsidRPr="00FE3629">
        <w:rPr>
          <w:rFonts w:cstheme="minorHAnsi"/>
          <w:color w:val="333333"/>
          <w:sz w:val="24"/>
          <w:szCs w:val="24"/>
          <w:shd w:val="clear" w:color="auto" w:fill="FCFCFC"/>
        </w:rPr>
        <w:t>Barnshaw</w:t>
      </w:r>
      <w:proofErr w:type="spellEnd"/>
      <w:r w:rsidRPr="00FE3629">
        <w:rPr>
          <w:rFonts w:cstheme="minorHAnsi"/>
          <w:color w:val="333333"/>
          <w:sz w:val="24"/>
          <w:szCs w:val="24"/>
          <w:shd w:val="clear" w:color="auto" w:fill="FCFCFC"/>
        </w:rPr>
        <w:t>, J. (2006).</w:t>
      </w:r>
      <w:r w:rsidRPr="00F06166">
        <w:rPr>
          <w:rFonts w:cstheme="minorHAnsi"/>
          <w:color w:val="333333"/>
          <w:sz w:val="24"/>
          <w:szCs w:val="24"/>
          <w:shd w:val="clear" w:color="auto" w:fill="FCFCFC"/>
        </w:rPr>
        <w:t xml:space="preserve"> The social construction of disasters: From heat waves to worst-case scenarios. </w:t>
      </w:r>
      <w:r w:rsidRPr="00F06166">
        <w:rPr>
          <w:rFonts w:cstheme="minorHAnsi"/>
          <w:i/>
          <w:iCs/>
          <w:color w:val="333333"/>
          <w:sz w:val="24"/>
          <w:szCs w:val="24"/>
          <w:shd w:val="clear" w:color="auto" w:fill="FCFCFC"/>
        </w:rPr>
        <w:t>Contemporary Sociology,</w:t>
      </w:r>
      <w:r w:rsidRPr="00F06166">
        <w:rPr>
          <w:rFonts w:cstheme="minorHAnsi"/>
          <w:color w:val="333333"/>
          <w:sz w:val="24"/>
          <w:szCs w:val="24"/>
          <w:shd w:val="clear" w:color="auto" w:fill="FCFCFC"/>
        </w:rPr>
        <w:t> </w:t>
      </w:r>
      <w:r w:rsidRPr="00F06166">
        <w:rPr>
          <w:rFonts w:cstheme="minorHAnsi"/>
          <w:i/>
          <w:iCs/>
          <w:color w:val="333333"/>
          <w:sz w:val="24"/>
          <w:szCs w:val="24"/>
          <w:shd w:val="clear" w:color="auto" w:fill="FCFCFC"/>
        </w:rPr>
        <w:t>35</w:t>
      </w:r>
      <w:r w:rsidRPr="00F06166">
        <w:rPr>
          <w:rFonts w:cstheme="minorHAnsi"/>
          <w:color w:val="333333"/>
          <w:sz w:val="24"/>
          <w:szCs w:val="24"/>
          <w:shd w:val="clear" w:color="auto" w:fill="FCFCFC"/>
        </w:rPr>
        <w:t>(3), 218–223.</w:t>
      </w:r>
    </w:p>
    <w:p w:rsidR="00101F5E" w:rsidRDefault="00101F5E" w:rsidP="00101F5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E3629">
        <w:rPr>
          <w:rFonts w:cstheme="minorHAnsi"/>
          <w:sz w:val="24"/>
          <w:szCs w:val="24"/>
        </w:rPr>
        <w:t>Shamir, R.</w:t>
      </w:r>
      <w:r w:rsidRPr="00F06166">
        <w:rPr>
          <w:rFonts w:cstheme="minorHAnsi"/>
          <w:sz w:val="24"/>
          <w:szCs w:val="24"/>
        </w:rPr>
        <w:t xml:space="preserve"> (2008) ‘The age of </w:t>
      </w:r>
      <w:proofErr w:type="spellStart"/>
      <w:r w:rsidRPr="00F06166">
        <w:rPr>
          <w:rFonts w:cstheme="minorHAnsi"/>
          <w:sz w:val="24"/>
          <w:szCs w:val="24"/>
        </w:rPr>
        <w:t>responsibilization</w:t>
      </w:r>
      <w:proofErr w:type="spellEnd"/>
      <w:r w:rsidRPr="00F06166">
        <w:rPr>
          <w:rFonts w:cstheme="minorHAnsi"/>
          <w:sz w:val="24"/>
          <w:szCs w:val="24"/>
        </w:rPr>
        <w:t xml:space="preserve">: on market-embedded morality’, </w:t>
      </w:r>
      <w:r w:rsidRPr="00F06166">
        <w:rPr>
          <w:rFonts w:cstheme="minorHAnsi"/>
          <w:i/>
          <w:sz w:val="24"/>
          <w:szCs w:val="24"/>
        </w:rPr>
        <w:t>Economy and Society</w:t>
      </w:r>
      <w:r w:rsidRPr="00F06166">
        <w:rPr>
          <w:rFonts w:cstheme="minorHAnsi"/>
          <w:sz w:val="24"/>
          <w:szCs w:val="24"/>
        </w:rPr>
        <w:t>, 37, 1: 1-19.</w:t>
      </w:r>
    </w:p>
    <w:p w:rsidR="00101F5E" w:rsidRDefault="00101F5E" w:rsidP="00101F5E">
      <w:pPr>
        <w:spacing w:after="0" w:line="240" w:lineRule="auto"/>
        <w:rPr>
          <w:color w:val="000000"/>
        </w:rPr>
      </w:pPr>
    </w:p>
    <w:p w:rsidR="00101F5E" w:rsidRPr="00101F5E" w:rsidRDefault="00101F5E" w:rsidP="00101F5E">
      <w:pPr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spellStart"/>
      <w:r w:rsidRPr="00101F5E">
        <w:rPr>
          <w:rFonts w:cstheme="minorHAnsi"/>
          <w:color w:val="333333"/>
          <w:sz w:val="24"/>
          <w:szCs w:val="24"/>
          <w:shd w:val="clear" w:color="auto" w:fill="FFFFFF"/>
        </w:rPr>
        <w:t>Soytemel</w:t>
      </w:r>
      <w:proofErr w:type="spellEnd"/>
      <w:r w:rsidRPr="00101F5E">
        <w:rPr>
          <w:rFonts w:cstheme="minorHAnsi"/>
          <w:color w:val="333333"/>
          <w:sz w:val="24"/>
          <w:szCs w:val="24"/>
          <w:shd w:val="clear" w:color="auto" w:fill="FFFFFF"/>
        </w:rPr>
        <w:t xml:space="preserve"> E (2013) The power of the powerless: </w:t>
      </w:r>
      <w:proofErr w:type="gramStart"/>
      <w:r w:rsidRPr="00101F5E">
        <w:rPr>
          <w:rFonts w:cstheme="minorHAnsi"/>
          <w:color w:val="333333"/>
          <w:sz w:val="24"/>
          <w:szCs w:val="24"/>
          <w:shd w:val="clear" w:color="auto" w:fill="FFFFFF"/>
        </w:rPr>
        <w:t>neighbourhood based</w:t>
      </w:r>
      <w:proofErr w:type="gramEnd"/>
      <w:r w:rsidRPr="00101F5E">
        <w:rPr>
          <w:rFonts w:cstheme="minorHAnsi"/>
          <w:color w:val="333333"/>
          <w:sz w:val="24"/>
          <w:szCs w:val="24"/>
          <w:shd w:val="clear" w:color="auto" w:fill="FFFFFF"/>
        </w:rPr>
        <w:t xml:space="preserve"> self-help networks of the poor in Istanbul. </w:t>
      </w:r>
      <w:r w:rsidRPr="00101F5E">
        <w:rPr>
          <w:rStyle w:val="Emphasis"/>
          <w:rFonts w:cstheme="minorHAnsi"/>
          <w:color w:val="333333"/>
          <w:sz w:val="24"/>
          <w:szCs w:val="24"/>
          <w:shd w:val="clear" w:color="auto" w:fill="FFFFFF"/>
        </w:rPr>
        <w:t>Women’s Studies International Forum</w:t>
      </w:r>
      <w:r w:rsidRPr="00101F5E">
        <w:rPr>
          <w:rFonts w:cstheme="minorHAnsi"/>
          <w:color w:val="333333"/>
          <w:sz w:val="24"/>
          <w:szCs w:val="24"/>
          <w:shd w:val="clear" w:color="auto" w:fill="FFFFFF"/>
        </w:rPr>
        <w:t> 41: 76–87.</w:t>
      </w:r>
    </w:p>
    <w:p w:rsidR="00101F5E" w:rsidRDefault="00101F5E" w:rsidP="00101F5E">
      <w:pPr>
        <w:spacing w:after="0" w:line="240" w:lineRule="auto"/>
        <w:rPr>
          <w:color w:val="000000"/>
        </w:rPr>
      </w:pPr>
    </w:p>
    <w:p w:rsidR="00101F5E" w:rsidRPr="00101F5E" w:rsidRDefault="00101F5E" w:rsidP="00101F5E">
      <w:pPr>
        <w:spacing w:after="0" w:line="240" w:lineRule="auto"/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  <w:r w:rsidRPr="00101F5E">
        <w:rPr>
          <w:rFonts w:cstheme="minorHAnsi"/>
          <w:color w:val="333333"/>
          <w:sz w:val="24"/>
          <w:szCs w:val="24"/>
          <w:shd w:val="clear" w:color="auto" w:fill="FFFFFF"/>
        </w:rPr>
        <w:t>Stiglitz JE (2012) Macroeconomic fluctuations, inequality, and human development. </w:t>
      </w:r>
      <w:r w:rsidRPr="00101F5E">
        <w:rPr>
          <w:rStyle w:val="Emphasis"/>
          <w:rFonts w:cstheme="minorHAnsi"/>
          <w:color w:val="333333"/>
          <w:sz w:val="24"/>
          <w:szCs w:val="24"/>
          <w:shd w:val="clear" w:color="auto" w:fill="FFFFFF"/>
        </w:rPr>
        <w:t>Journal of Human Development and Capabilities</w:t>
      </w:r>
      <w:r w:rsidRPr="00101F5E">
        <w:rPr>
          <w:rFonts w:cstheme="minorHAnsi"/>
          <w:color w:val="333333"/>
          <w:sz w:val="24"/>
          <w:szCs w:val="24"/>
          <w:shd w:val="clear" w:color="auto" w:fill="FFFFFF"/>
        </w:rPr>
        <w:t> 13(1): 31–58.</w:t>
      </w:r>
    </w:p>
    <w:p w:rsidR="00101F5E" w:rsidRPr="00101F5E" w:rsidRDefault="00101F5E" w:rsidP="00101F5E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bookmarkStart w:id="1" w:name="_GoBack"/>
      <w:bookmarkEnd w:id="1"/>
    </w:p>
    <w:p w:rsidR="00101F5E" w:rsidRDefault="00101F5E" w:rsidP="00F462F1">
      <w:pPr>
        <w:spacing w:after="0" w:line="240" w:lineRule="auto"/>
        <w:jc w:val="both"/>
        <w:rPr>
          <w:sz w:val="24"/>
          <w:szCs w:val="24"/>
        </w:rPr>
      </w:pPr>
      <w:bookmarkStart w:id="2" w:name="_Hlk157170146"/>
      <w:r w:rsidRPr="005D34FE">
        <w:rPr>
          <w:sz w:val="24"/>
          <w:szCs w:val="24"/>
        </w:rPr>
        <w:t xml:space="preserve">Vincent, S., Lopes, A., </w:t>
      </w:r>
      <w:proofErr w:type="spellStart"/>
      <w:r w:rsidRPr="005D34FE">
        <w:rPr>
          <w:sz w:val="24"/>
          <w:szCs w:val="24"/>
        </w:rPr>
        <w:t>Meliou</w:t>
      </w:r>
      <w:proofErr w:type="spellEnd"/>
      <w:r w:rsidRPr="005D34FE">
        <w:rPr>
          <w:sz w:val="24"/>
          <w:szCs w:val="24"/>
        </w:rPr>
        <w:t xml:space="preserve">, E., &amp; </w:t>
      </w:r>
      <w:proofErr w:type="spellStart"/>
      <w:r w:rsidRPr="005D34FE">
        <w:rPr>
          <w:sz w:val="24"/>
          <w:szCs w:val="24"/>
        </w:rPr>
        <w:t>Özbilgin</w:t>
      </w:r>
      <w:proofErr w:type="spellEnd"/>
      <w:r w:rsidRPr="005D34FE">
        <w:rPr>
          <w:sz w:val="24"/>
          <w:szCs w:val="24"/>
        </w:rPr>
        <w:t xml:space="preserve">, M. (2024). Relational </w:t>
      </w:r>
      <w:proofErr w:type="spellStart"/>
      <w:r w:rsidRPr="005D34FE">
        <w:rPr>
          <w:sz w:val="24"/>
          <w:szCs w:val="24"/>
        </w:rPr>
        <w:t>Responsibilisation</w:t>
      </w:r>
      <w:proofErr w:type="spellEnd"/>
      <w:r w:rsidRPr="005D34FE">
        <w:rPr>
          <w:sz w:val="24"/>
          <w:szCs w:val="24"/>
        </w:rPr>
        <w:t xml:space="preserve"> and Diversity Management in the 21st Century: The Case for Reframing Equality Regulation. </w:t>
      </w:r>
      <w:r w:rsidRPr="005D34FE">
        <w:rPr>
          <w:i/>
          <w:iCs/>
          <w:sz w:val="24"/>
          <w:szCs w:val="24"/>
        </w:rPr>
        <w:t>Work, Employment and Society</w:t>
      </w:r>
      <w:r w:rsidRPr="005D34FE">
        <w:rPr>
          <w:sz w:val="24"/>
          <w:szCs w:val="24"/>
        </w:rPr>
        <w:t>, </w:t>
      </w:r>
      <w:r w:rsidRPr="005D34FE">
        <w:rPr>
          <w:i/>
          <w:iCs/>
          <w:sz w:val="24"/>
          <w:szCs w:val="24"/>
        </w:rPr>
        <w:t>0</w:t>
      </w:r>
      <w:r w:rsidRPr="005D34FE">
        <w:rPr>
          <w:sz w:val="24"/>
          <w:szCs w:val="24"/>
        </w:rPr>
        <w:t>(0). </w:t>
      </w:r>
    </w:p>
    <w:p w:rsidR="00101F5E" w:rsidRDefault="00101F5E" w:rsidP="00F462F1">
      <w:pPr>
        <w:spacing w:after="0" w:line="240" w:lineRule="auto"/>
        <w:jc w:val="both"/>
        <w:rPr>
          <w:sz w:val="24"/>
          <w:szCs w:val="24"/>
        </w:rPr>
      </w:pPr>
    </w:p>
    <w:bookmarkEnd w:id="2"/>
    <w:p w:rsidR="00D62445" w:rsidRDefault="00101F5E" w:rsidP="00F462F1">
      <w:pPr>
        <w:spacing w:after="0" w:line="240" w:lineRule="auto"/>
        <w:jc w:val="both"/>
        <w:rPr>
          <w:color w:val="000000"/>
        </w:rPr>
      </w:pPr>
      <w:r w:rsidRPr="00FE3629">
        <w:rPr>
          <w:rFonts w:cstheme="minorHAnsi"/>
          <w:sz w:val="24"/>
          <w:szCs w:val="24"/>
        </w:rPr>
        <w:t>Wood, E. (1997).</w:t>
      </w:r>
      <w:r w:rsidRPr="00F06166">
        <w:rPr>
          <w:rFonts w:cstheme="minorHAnsi"/>
          <w:sz w:val="24"/>
          <w:szCs w:val="24"/>
        </w:rPr>
        <w:t xml:space="preserve"> Modernity, postmodernity, or capitalism? </w:t>
      </w:r>
      <w:r w:rsidRPr="00F06166">
        <w:rPr>
          <w:rFonts w:cstheme="minorHAnsi"/>
          <w:i/>
          <w:sz w:val="24"/>
          <w:szCs w:val="24"/>
        </w:rPr>
        <w:t>Review of International Political Economy</w:t>
      </w:r>
      <w:r w:rsidRPr="00F06166">
        <w:rPr>
          <w:rFonts w:cstheme="minorHAnsi"/>
          <w:sz w:val="24"/>
          <w:szCs w:val="24"/>
        </w:rPr>
        <w:t>, 4(3), 539-60</w:t>
      </w:r>
    </w:p>
    <w:sectPr w:rsidR="00D624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366CC"/>
    <w:multiLevelType w:val="multilevel"/>
    <w:tmpl w:val="B78C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0B"/>
    <w:rsid w:val="00101F5E"/>
    <w:rsid w:val="001053A4"/>
    <w:rsid w:val="00126CB6"/>
    <w:rsid w:val="002548C8"/>
    <w:rsid w:val="002D0A0B"/>
    <w:rsid w:val="004235F9"/>
    <w:rsid w:val="00440361"/>
    <w:rsid w:val="004D7632"/>
    <w:rsid w:val="00667ACC"/>
    <w:rsid w:val="00673164"/>
    <w:rsid w:val="006A5625"/>
    <w:rsid w:val="006F3D35"/>
    <w:rsid w:val="00712871"/>
    <w:rsid w:val="00743FED"/>
    <w:rsid w:val="007715DC"/>
    <w:rsid w:val="007A2C5C"/>
    <w:rsid w:val="007B17E7"/>
    <w:rsid w:val="008208FF"/>
    <w:rsid w:val="0083167C"/>
    <w:rsid w:val="008D68E2"/>
    <w:rsid w:val="008E3C9B"/>
    <w:rsid w:val="008F6F61"/>
    <w:rsid w:val="009257C5"/>
    <w:rsid w:val="00990287"/>
    <w:rsid w:val="009B53AB"/>
    <w:rsid w:val="00A84E5A"/>
    <w:rsid w:val="00AB45E1"/>
    <w:rsid w:val="00AE4E7D"/>
    <w:rsid w:val="00C30C09"/>
    <w:rsid w:val="00D62445"/>
    <w:rsid w:val="00E049E1"/>
    <w:rsid w:val="00F06993"/>
    <w:rsid w:val="00F444D9"/>
    <w:rsid w:val="00F4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A44720-2F20-45E2-A941-35D13B49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0A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2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62445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624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62445"/>
    <w:rPr>
      <w:rFonts w:ascii="Arial" w:eastAsia="Times New Roman" w:hAnsi="Arial" w:cs="Arial"/>
      <w:vanish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F3D3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01F5E"/>
    <w:rPr>
      <w:i/>
      <w:iCs/>
    </w:rPr>
  </w:style>
  <w:style w:type="character" w:customStyle="1" w:styleId="ff2">
    <w:name w:val="ff2"/>
    <w:basedOn w:val="DefaultParagraphFont"/>
    <w:rsid w:val="00101F5E"/>
  </w:style>
  <w:style w:type="character" w:customStyle="1" w:styleId="ws2">
    <w:name w:val="ws2"/>
    <w:basedOn w:val="DefaultParagraphFont"/>
    <w:rsid w:val="00101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1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181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9862433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025317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940949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1721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3051328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2906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2472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00097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6497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421493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617643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s-sagepub-com.ezproxy.brunel.ac.uk/reader/content/18d42652ea4/10.1177/09500170231217660/format/epub/EPUB/xhtml/index.xhtml?hmac=1706268022-KpxpyAwhW7eqY350EDVWy2QwsNJmAm9Pylt%2FE651tmA%3D" TargetMode="External"/><Relationship Id="rId5" Type="http://schemas.openxmlformats.org/officeDocument/2006/relationships/hyperlink" Target="https://journals-sagepub-com.ezproxy.brunel.ac.uk/reader/content/18d42652ea4/10.1177/09500170231217660/format/epub/EPUB/xhtml/index.xhtml?hmac=1706268022-KpxpyAwhW7eqY350EDVWy2QwsNJmAm9Pylt%2FE651tmA%3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2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 London</Company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Valsecchi (Staff)</dc:creator>
  <cp:keywords/>
  <dc:description/>
  <cp:lastModifiedBy>Raffaella Valsecchi (Staff)</cp:lastModifiedBy>
  <cp:revision>7</cp:revision>
  <dcterms:created xsi:type="dcterms:W3CDTF">2024-01-24T17:16:00Z</dcterms:created>
  <dcterms:modified xsi:type="dcterms:W3CDTF">2024-01-26T16:18:00Z</dcterms:modified>
</cp:coreProperties>
</file>